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56" w:type="dxa"/>
        <w:tblLook w:val="04A0" w:firstRow="1" w:lastRow="0" w:firstColumn="1" w:lastColumn="0" w:noHBand="0" w:noVBand="1"/>
      </w:tblPr>
      <w:tblGrid>
        <w:gridCol w:w="2342"/>
        <w:gridCol w:w="152"/>
        <w:gridCol w:w="2191"/>
        <w:gridCol w:w="105"/>
        <w:gridCol w:w="2238"/>
        <w:gridCol w:w="84"/>
        <w:gridCol w:w="2258"/>
        <w:gridCol w:w="58"/>
        <w:gridCol w:w="2285"/>
        <w:gridCol w:w="45"/>
        <w:gridCol w:w="2298"/>
      </w:tblGrid>
      <w:tr w:rsidR="00AD5B2C" w14:paraId="1E380484" w14:textId="77777777" w:rsidTr="00AD5B2C">
        <w:trPr>
          <w:trHeight w:val="250"/>
        </w:trPr>
        <w:tc>
          <w:tcPr>
            <w:tcW w:w="2494" w:type="dxa"/>
            <w:gridSpan w:val="2"/>
            <w:shd w:val="clear" w:color="auto" w:fill="E8E8E8" w:themeFill="background2"/>
          </w:tcPr>
          <w:p w14:paraId="60A03804" w14:textId="78586E88" w:rsidR="00AD5B2C" w:rsidRPr="00AD5B2C" w:rsidRDefault="00AD5B2C">
            <w:pPr>
              <w:rPr>
                <w:b/>
                <w:bCs/>
                <w:sz w:val="32"/>
                <w:szCs w:val="32"/>
              </w:rPr>
            </w:pPr>
            <w:r w:rsidRPr="00AD5B2C">
              <w:rPr>
                <w:b/>
                <w:bCs/>
                <w:sz w:val="32"/>
                <w:szCs w:val="32"/>
              </w:rPr>
              <w:t>Pillar/Objective</w:t>
            </w:r>
          </w:p>
        </w:tc>
        <w:tc>
          <w:tcPr>
            <w:tcW w:w="2296" w:type="dxa"/>
            <w:gridSpan w:val="2"/>
            <w:shd w:val="clear" w:color="auto" w:fill="E8E8E8" w:themeFill="background2"/>
          </w:tcPr>
          <w:p w14:paraId="7D91D69A" w14:textId="685B937D" w:rsidR="00AD5B2C" w:rsidRPr="00AD5B2C" w:rsidRDefault="00AD5B2C">
            <w:pPr>
              <w:rPr>
                <w:b/>
                <w:bCs/>
                <w:sz w:val="32"/>
                <w:szCs w:val="32"/>
              </w:rPr>
            </w:pPr>
            <w:r w:rsidRPr="00AD5B2C">
              <w:rPr>
                <w:b/>
                <w:bCs/>
                <w:sz w:val="32"/>
                <w:szCs w:val="32"/>
              </w:rPr>
              <w:t>Specific</w:t>
            </w:r>
          </w:p>
        </w:tc>
        <w:tc>
          <w:tcPr>
            <w:tcW w:w="2322" w:type="dxa"/>
            <w:gridSpan w:val="2"/>
            <w:shd w:val="clear" w:color="auto" w:fill="E8E8E8" w:themeFill="background2"/>
          </w:tcPr>
          <w:p w14:paraId="5EE2DA63" w14:textId="76612F52" w:rsidR="00AD5B2C" w:rsidRPr="00AD5B2C" w:rsidRDefault="00AD5B2C">
            <w:pPr>
              <w:rPr>
                <w:b/>
                <w:bCs/>
                <w:sz w:val="32"/>
                <w:szCs w:val="32"/>
              </w:rPr>
            </w:pPr>
            <w:r w:rsidRPr="00AD5B2C">
              <w:rPr>
                <w:b/>
                <w:bCs/>
                <w:sz w:val="32"/>
                <w:szCs w:val="32"/>
              </w:rPr>
              <w:t>Measurable</w:t>
            </w:r>
          </w:p>
        </w:tc>
        <w:tc>
          <w:tcPr>
            <w:tcW w:w="2316" w:type="dxa"/>
            <w:gridSpan w:val="2"/>
            <w:shd w:val="clear" w:color="auto" w:fill="E8E8E8" w:themeFill="background2"/>
          </w:tcPr>
          <w:p w14:paraId="3FE0FF53" w14:textId="5E2B7309" w:rsidR="00AD5B2C" w:rsidRPr="00AD5B2C" w:rsidRDefault="00AD5B2C">
            <w:pPr>
              <w:rPr>
                <w:b/>
                <w:bCs/>
                <w:sz w:val="32"/>
                <w:szCs w:val="32"/>
              </w:rPr>
            </w:pPr>
            <w:r w:rsidRPr="00AD5B2C">
              <w:rPr>
                <w:b/>
                <w:bCs/>
                <w:sz w:val="32"/>
                <w:szCs w:val="32"/>
              </w:rPr>
              <w:t>Achievable</w:t>
            </w:r>
          </w:p>
        </w:tc>
        <w:tc>
          <w:tcPr>
            <w:tcW w:w="2330" w:type="dxa"/>
            <w:gridSpan w:val="2"/>
            <w:shd w:val="clear" w:color="auto" w:fill="E8E8E8" w:themeFill="background2"/>
          </w:tcPr>
          <w:p w14:paraId="35AFFA8E" w14:textId="6016651B" w:rsidR="00AD5B2C" w:rsidRPr="00AD5B2C" w:rsidRDefault="00AD5B2C">
            <w:pPr>
              <w:rPr>
                <w:b/>
                <w:bCs/>
                <w:sz w:val="32"/>
                <w:szCs w:val="32"/>
              </w:rPr>
            </w:pPr>
            <w:r w:rsidRPr="00AD5B2C">
              <w:rPr>
                <w:b/>
                <w:bCs/>
                <w:sz w:val="32"/>
                <w:szCs w:val="32"/>
              </w:rPr>
              <w:t>Relevant</w:t>
            </w:r>
          </w:p>
        </w:tc>
        <w:tc>
          <w:tcPr>
            <w:tcW w:w="2298" w:type="dxa"/>
            <w:shd w:val="clear" w:color="auto" w:fill="E8E8E8" w:themeFill="background2"/>
          </w:tcPr>
          <w:p w14:paraId="3B2BE68A" w14:textId="70B415D9" w:rsidR="00AD5B2C" w:rsidRPr="00AD5B2C" w:rsidRDefault="00AD5B2C">
            <w:pPr>
              <w:rPr>
                <w:b/>
                <w:bCs/>
                <w:sz w:val="32"/>
                <w:szCs w:val="32"/>
              </w:rPr>
            </w:pPr>
            <w:r w:rsidRPr="00AD5B2C">
              <w:rPr>
                <w:b/>
                <w:bCs/>
                <w:sz w:val="32"/>
                <w:szCs w:val="32"/>
              </w:rPr>
              <w:t>Time</w:t>
            </w:r>
          </w:p>
        </w:tc>
      </w:tr>
      <w:tr w:rsidR="00AD5B2C" w14:paraId="47643D00" w14:textId="77777777" w:rsidTr="00AD5B2C">
        <w:trPr>
          <w:trHeight w:val="250"/>
        </w:trPr>
        <w:tc>
          <w:tcPr>
            <w:tcW w:w="2494" w:type="dxa"/>
            <w:gridSpan w:val="2"/>
          </w:tcPr>
          <w:p w14:paraId="15052B2C" w14:textId="1CCB05A8" w:rsidR="00AD5B2C" w:rsidRDefault="00AD5B2C">
            <w:r w:rsidRPr="00AD5B2C">
              <w:rPr>
                <w:b/>
                <w:bCs/>
              </w:rPr>
              <w:t>1.5</w:t>
            </w:r>
            <w:r>
              <w:t xml:space="preserve"> </w:t>
            </w:r>
            <w:r w:rsidRPr="00AD5B2C">
              <w:t>Adopting key recommendations of ‘The Big Ambition’ (for education) authored by The Children’s Commissioner</w:t>
            </w:r>
          </w:p>
        </w:tc>
        <w:tc>
          <w:tcPr>
            <w:tcW w:w="2296" w:type="dxa"/>
            <w:gridSpan w:val="2"/>
          </w:tcPr>
          <w:p w14:paraId="0255E465" w14:textId="1DBE55CA" w:rsidR="00AD5B2C" w:rsidRDefault="00AD5B2C">
            <w:r w:rsidRPr="00AD5B2C">
              <w:t xml:space="preserve">To increase school attendance by engaging students through a cultural enrichment programme that includes </w:t>
            </w:r>
            <w:r w:rsidR="00893F75">
              <w:t>regular</w:t>
            </w:r>
            <w:r w:rsidRPr="00AD5B2C">
              <w:t xml:space="preserve"> workshops, trips, and guest speakers focus</w:t>
            </w:r>
            <w:r w:rsidR="006F7C60">
              <w:t>sing</w:t>
            </w:r>
            <w:r w:rsidRPr="00AD5B2C">
              <w:t xml:space="preserve"> on diverse cultural heritage and creative arts.</w:t>
            </w:r>
          </w:p>
        </w:tc>
        <w:tc>
          <w:tcPr>
            <w:tcW w:w="2322" w:type="dxa"/>
            <w:gridSpan w:val="2"/>
          </w:tcPr>
          <w:p w14:paraId="3427AD04" w14:textId="6766874C" w:rsidR="00AD5B2C" w:rsidRDefault="00AD5B2C">
            <w:r w:rsidRPr="00AD5B2C">
              <w:t xml:space="preserve">Achieve a </w:t>
            </w:r>
            <w:r w:rsidR="006F7C60">
              <w:rPr>
                <w:b/>
                <w:bCs/>
              </w:rPr>
              <w:t>% (TBC)</w:t>
            </w:r>
            <w:r w:rsidRPr="00AD5B2C">
              <w:rPr>
                <w:b/>
                <w:bCs/>
              </w:rPr>
              <w:t xml:space="preserve"> increase in average attendance rates</w:t>
            </w:r>
            <w:r w:rsidRPr="00AD5B2C">
              <w:t xml:space="preserve"> among targeted students (those with attendance below </w:t>
            </w:r>
            <w:r w:rsidRPr="006F7C60">
              <w:rPr>
                <w:b/>
                <w:bCs/>
              </w:rPr>
              <w:t>90%</w:t>
            </w:r>
            <w:r w:rsidR="006F7C60">
              <w:t xml:space="preserve"> - </w:t>
            </w:r>
            <w:r w:rsidR="006F7C60" w:rsidRPr="006F7C60">
              <w:rPr>
                <w:b/>
                <w:bCs/>
              </w:rPr>
              <w:t>to be agreed</w:t>
            </w:r>
            <w:r w:rsidRPr="00AD5B2C">
              <w:t xml:space="preserve">) by the end of the academic year, with at least </w:t>
            </w:r>
            <w:r w:rsidRPr="00AD5B2C">
              <w:rPr>
                <w:b/>
                <w:bCs/>
              </w:rPr>
              <w:t>80% student participation</w:t>
            </w:r>
            <w:r w:rsidR="006A78B0">
              <w:rPr>
                <w:b/>
                <w:bCs/>
              </w:rPr>
              <w:t xml:space="preserve"> (TBC)</w:t>
            </w:r>
            <w:r w:rsidRPr="00AD5B2C">
              <w:t xml:space="preserve"> in cultural enrichment activities.</w:t>
            </w:r>
          </w:p>
        </w:tc>
        <w:tc>
          <w:tcPr>
            <w:tcW w:w="2316" w:type="dxa"/>
            <w:gridSpan w:val="2"/>
          </w:tcPr>
          <w:p w14:paraId="2D68368C" w14:textId="77777777" w:rsidR="00AD5B2C" w:rsidRDefault="00AD5B2C">
            <w:r w:rsidRPr="00AD5B2C">
              <w:t>Partner with local museums, cultural organ</w:t>
            </w:r>
            <w:r w:rsidR="006A78B0">
              <w:t>is</w:t>
            </w:r>
            <w:r w:rsidRPr="00AD5B2C">
              <w:t xml:space="preserve">ations, and artists to deliver </w:t>
            </w:r>
            <w:r w:rsidRPr="00AD5B2C">
              <w:rPr>
                <w:b/>
                <w:bCs/>
              </w:rPr>
              <w:t xml:space="preserve">one cultural enrichment event per </w:t>
            </w:r>
            <w:r w:rsidR="007D2DF8">
              <w:rPr>
                <w:b/>
                <w:bCs/>
              </w:rPr>
              <w:t>?</w:t>
            </w:r>
            <w:r w:rsidRPr="00AD5B2C">
              <w:t>; provide necessary support (e.g. transport, permissions) to remove barriers to participation.</w:t>
            </w:r>
          </w:p>
          <w:p w14:paraId="71254061" w14:textId="31ECB0AC" w:rsidR="00734FF8" w:rsidRPr="000157E7" w:rsidRDefault="004616FA">
            <w:pPr>
              <w:rPr>
                <w:color w:val="EE0000"/>
              </w:rPr>
            </w:pPr>
            <w:r>
              <w:rPr>
                <w:color w:val="EE0000"/>
              </w:rPr>
              <w:t>Usi</w:t>
            </w:r>
            <w:r w:rsidR="00537FD3">
              <w:rPr>
                <w:color w:val="EE0000"/>
              </w:rPr>
              <w:t>ng Ach</w:t>
            </w:r>
            <w:r w:rsidR="00E2143C">
              <w:rPr>
                <w:color w:val="EE0000"/>
              </w:rPr>
              <w:t>ieve</w:t>
            </w:r>
            <w:r w:rsidR="00032325">
              <w:rPr>
                <w:color w:val="EE0000"/>
              </w:rPr>
              <w:t xml:space="preserve">, </w:t>
            </w:r>
            <w:r w:rsidR="007235DB">
              <w:rPr>
                <w:color w:val="EE0000"/>
              </w:rPr>
              <w:t>link</w:t>
            </w:r>
            <w:r w:rsidR="00BE77B8">
              <w:rPr>
                <w:color w:val="EE0000"/>
              </w:rPr>
              <w:t xml:space="preserve"> career</w:t>
            </w:r>
            <w:r w:rsidR="00A8648C">
              <w:rPr>
                <w:color w:val="EE0000"/>
              </w:rPr>
              <w:t xml:space="preserve">s; </w:t>
            </w:r>
            <w:r w:rsidR="001C5DCF">
              <w:rPr>
                <w:color w:val="EE0000"/>
              </w:rPr>
              <w:t>creativi</w:t>
            </w:r>
            <w:r w:rsidR="00822B22">
              <w:rPr>
                <w:color w:val="EE0000"/>
              </w:rPr>
              <w:t>ty and spor</w:t>
            </w:r>
            <w:r w:rsidR="00D0632F">
              <w:rPr>
                <w:color w:val="EE0000"/>
              </w:rPr>
              <w:t xml:space="preserve">t; </w:t>
            </w:r>
            <w:r w:rsidR="00787C96">
              <w:rPr>
                <w:color w:val="EE0000"/>
              </w:rPr>
              <w:t>mean</w:t>
            </w:r>
            <w:r w:rsidR="008F44D1">
              <w:rPr>
                <w:color w:val="EE0000"/>
              </w:rPr>
              <w:t>ingful</w:t>
            </w:r>
            <w:r w:rsidR="002F4267">
              <w:rPr>
                <w:color w:val="EE0000"/>
              </w:rPr>
              <w:t xml:space="preserve">; </w:t>
            </w:r>
          </w:p>
        </w:tc>
        <w:tc>
          <w:tcPr>
            <w:tcW w:w="2330" w:type="dxa"/>
            <w:gridSpan w:val="2"/>
          </w:tcPr>
          <w:p w14:paraId="3D23B67C" w14:textId="4B3596FD" w:rsidR="00AD5B2C" w:rsidRDefault="00AD5B2C">
            <w:r w:rsidRPr="00AD5B2C">
              <w:t xml:space="preserve">This target supports </w:t>
            </w:r>
            <w:r w:rsidRPr="00AD5B2C">
              <w:rPr>
                <w:b/>
                <w:bCs/>
              </w:rPr>
              <w:t>The Big Ambition’s focus on improving outcomes for children</w:t>
            </w:r>
            <w:r w:rsidRPr="00AD5B2C">
              <w:t xml:space="preserve"> by promoting engagement, belonging, and inclusion</w:t>
            </w:r>
            <w:r w:rsidR="007D2DF8">
              <w:t xml:space="preserve"> </w:t>
            </w:r>
            <w:r w:rsidRPr="00AD5B2C">
              <w:t>—</w:t>
            </w:r>
            <w:r w:rsidR="007D2DF8">
              <w:t xml:space="preserve"> </w:t>
            </w:r>
            <w:r w:rsidRPr="00AD5B2C">
              <w:t>key drivers in improving attendance, especially for students from underrepresented or disadvantaged backgrounds</w:t>
            </w:r>
            <w:r w:rsidR="007D2DF8">
              <w:t>.</w:t>
            </w:r>
          </w:p>
        </w:tc>
        <w:tc>
          <w:tcPr>
            <w:tcW w:w="2298" w:type="dxa"/>
          </w:tcPr>
          <w:p w14:paraId="1E1C8698" w14:textId="134F940B" w:rsidR="00AD5B2C" w:rsidRDefault="00AD5B2C">
            <w:r w:rsidRPr="00AD5B2C">
              <w:t xml:space="preserve">Implement the programme from </w:t>
            </w:r>
            <w:r w:rsidRPr="00AD5B2C">
              <w:rPr>
                <w:b/>
                <w:bCs/>
              </w:rPr>
              <w:t>September 2025 to July 2026</w:t>
            </w:r>
            <w:r w:rsidRPr="00AD5B2C">
              <w:t>, with termly reviews to assess impact and adjust approaches as needed.</w:t>
            </w:r>
          </w:p>
        </w:tc>
      </w:tr>
      <w:tr w:rsidR="00AD5B2C" w14:paraId="282361E5" w14:textId="77777777" w:rsidTr="00357282">
        <w:trPr>
          <w:trHeight w:val="250"/>
        </w:trPr>
        <w:tc>
          <w:tcPr>
            <w:tcW w:w="14056" w:type="dxa"/>
            <w:gridSpan w:val="11"/>
            <w:shd w:val="clear" w:color="auto" w:fill="E8E8E8" w:themeFill="background2"/>
          </w:tcPr>
          <w:p w14:paraId="12A03BD0" w14:textId="77777777" w:rsidR="00AD5B2C" w:rsidRPr="00AD5B2C" w:rsidRDefault="00AD5B2C"/>
        </w:tc>
      </w:tr>
      <w:tr w:rsidR="00AD5B2C" w14:paraId="072D0464" w14:textId="77777777" w:rsidTr="00AD5B2C">
        <w:trPr>
          <w:trHeight w:val="250"/>
        </w:trPr>
        <w:tc>
          <w:tcPr>
            <w:tcW w:w="2342" w:type="dxa"/>
            <w:shd w:val="clear" w:color="auto" w:fill="FFFFFF" w:themeFill="background1"/>
          </w:tcPr>
          <w:p w14:paraId="7AA4AB1F" w14:textId="1770829A" w:rsidR="00AD5B2C" w:rsidRPr="00AD5B2C" w:rsidRDefault="00AD5B2C">
            <w:r w:rsidRPr="00AD5B2C">
              <w:rPr>
                <w:b/>
                <w:bCs/>
              </w:rPr>
              <w:t>2.4</w:t>
            </w:r>
            <w:r>
              <w:t xml:space="preserve"> </w:t>
            </w:r>
            <w:r w:rsidRPr="00AD5B2C">
              <w:t>Ensure the voices of children, young people and families shape the actions and intervention</w:t>
            </w:r>
            <w:r w:rsidR="009013F8">
              <w:t xml:space="preserve">s. School </w:t>
            </w:r>
            <w:r w:rsidRPr="00AD5B2C">
              <w:t xml:space="preserve">Councils (or equivalent) should have a </w:t>
            </w:r>
            <w:r w:rsidR="009013F8">
              <w:t>leading</w:t>
            </w:r>
            <w:r w:rsidRPr="00AD5B2C">
              <w:t xml:space="preserve"> role to identify and address barriers </w:t>
            </w:r>
            <w:r w:rsidR="009013F8">
              <w:t xml:space="preserve"> </w:t>
            </w:r>
            <w:r w:rsidRPr="00AD5B2C">
              <w:t xml:space="preserve"> </w:t>
            </w:r>
            <w:r w:rsidR="00162894">
              <w:t xml:space="preserve">for example </w:t>
            </w:r>
            <w:r w:rsidRPr="00AD5B2C">
              <w:t xml:space="preserve">bullying, </w:t>
            </w:r>
            <w:r w:rsidRPr="00AD5B2C">
              <w:lastRenderedPageBreak/>
              <w:t>stigma, cultural norms</w:t>
            </w:r>
            <w:r w:rsidR="00162894">
              <w:t>.</w:t>
            </w:r>
          </w:p>
        </w:tc>
        <w:tc>
          <w:tcPr>
            <w:tcW w:w="2343" w:type="dxa"/>
            <w:gridSpan w:val="2"/>
            <w:shd w:val="clear" w:color="auto" w:fill="FFFFFF" w:themeFill="background1"/>
          </w:tcPr>
          <w:p w14:paraId="435712B9" w14:textId="77777777" w:rsidR="00AD5B2C" w:rsidRDefault="00AD5B2C">
            <w:r w:rsidRPr="00AD5B2C">
              <w:lastRenderedPageBreak/>
              <w:t xml:space="preserve">Establish a </w:t>
            </w:r>
            <w:r w:rsidRPr="00AD5B2C">
              <w:rPr>
                <w:b/>
                <w:bCs/>
              </w:rPr>
              <w:t xml:space="preserve">Student Cultural </w:t>
            </w:r>
            <w:r w:rsidR="009013F8" w:rsidRPr="00AD5B2C">
              <w:rPr>
                <w:b/>
                <w:bCs/>
              </w:rPr>
              <w:t xml:space="preserve">Council </w:t>
            </w:r>
            <w:r w:rsidR="009013F8" w:rsidRPr="00AD5B2C">
              <w:t>by</w:t>
            </w:r>
            <w:r w:rsidRPr="00AD5B2C">
              <w:t xml:space="preserve"> October 2025 to work alongside staff and families in identifying cultural, social, and emotional barriers to attendance</w:t>
            </w:r>
            <w:r w:rsidR="00162894">
              <w:t xml:space="preserve"> </w:t>
            </w:r>
            <w:r w:rsidRPr="00AD5B2C">
              <w:t xml:space="preserve">—such as bullying, stigma, and exclusion—through </w:t>
            </w:r>
            <w:r w:rsidRPr="00AD5B2C">
              <w:lastRenderedPageBreak/>
              <w:t>regular feedback sessions and collaborative planning of enrichment activities.</w:t>
            </w:r>
          </w:p>
          <w:p w14:paraId="2F3C3F0C" w14:textId="77777777" w:rsidR="004B14AE" w:rsidRDefault="004B14AE">
            <w:pPr>
              <w:rPr>
                <w:color w:val="EE0000"/>
              </w:rPr>
            </w:pPr>
            <w:proofErr w:type="spellStart"/>
            <w:r>
              <w:rPr>
                <w:color w:val="EE0000"/>
              </w:rPr>
              <w:t>Bydales</w:t>
            </w:r>
            <w:proofErr w:type="spellEnd"/>
            <w:r>
              <w:rPr>
                <w:color w:val="EE0000"/>
              </w:rPr>
              <w:t xml:space="preserve"> – student voices </w:t>
            </w:r>
          </w:p>
          <w:p w14:paraId="1A45CB5C" w14:textId="0A564F18" w:rsidR="00326548" w:rsidRPr="004B14AE" w:rsidRDefault="00326548">
            <w:pPr>
              <w:rPr>
                <w:color w:val="EE0000"/>
              </w:rPr>
            </w:pPr>
            <w:r>
              <w:rPr>
                <w:color w:val="EE0000"/>
              </w:rPr>
              <w:t xml:space="preserve">Youth services </w:t>
            </w:r>
            <w:r w:rsidR="00560F48">
              <w:rPr>
                <w:color w:val="EE0000"/>
              </w:rPr>
              <w:t>–</w:t>
            </w:r>
            <w:r>
              <w:rPr>
                <w:color w:val="EE0000"/>
              </w:rPr>
              <w:t xml:space="preserve"> </w:t>
            </w:r>
            <w:r w:rsidR="00560F48">
              <w:rPr>
                <w:color w:val="EE0000"/>
              </w:rPr>
              <w:t xml:space="preserve">ensure collect student voices from range of services </w:t>
            </w:r>
          </w:p>
        </w:tc>
        <w:tc>
          <w:tcPr>
            <w:tcW w:w="2343" w:type="dxa"/>
            <w:gridSpan w:val="2"/>
            <w:shd w:val="clear" w:color="auto" w:fill="FFFFFF" w:themeFill="background1"/>
          </w:tcPr>
          <w:p w14:paraId="02974F15" w14:textId="4B73B65A" w:rsidR="00AD5B2C" w:rsidRPr="00AD5B2C" w:rsidRDefault="00AD5B2C">
            <w:r w:rsidRPr="00AD5B2C">
              <w:lastRenderedPageBreak/>
              <w:t xml:space="preserve">Conduct </w:t>
            </w:r>
            <w:r w:rsidRPr="00AD5B2C">
              <w:rPr>
                <w:b/>
                <w:bCs/>
              </w:rPr>
              <w:t>half-termly meetings</w:t>
            </w:r>
            <w:r w:rsidRPr="00AD5B2C">
              <w:t xml:space="preserve"> with at least </w:t>
            </w:r>
            <w:r w:rsidRPr="00AD5B2C">
              <w:rPr>
                <w:b/>
                <w:bCs/>
              </w:rPr>
              <w:t>10 active student and family representatives</w:t>
            </w:r>
            <w:r w:rsidR="00162894">
              <w:rPr>
                <w:b/>
                <w:bCs/>
              </w:rPr>
              <w:t xml:space="preserve"> (TBC)</w:t>
            </w:r>
            <w:r w:rsidRPr="00AD5B2C">
              <w:t xml:space="preserve">, resulting in </w:t>
            </w:r>
            <w:r w:rsidRPr="00AD5B2C">
              <w:rPr>
                <w:b/>
                <w:bCs/>
              </w:rPr>
              <w:t>a minimum of 3 co-designed cultural enrichment initiatives</w:t>
            </w:r>
            <w:r w:rsidRPr="00AD5B2C">
              <w:t xml:space="preserve"> (e.g. themed assemblies, </w:t>
            </w:r>
            <w:r w:rsidRPr="00AD5B2C">
              <w:lastRenderedPageBreak/>
              <w:t xml:space="preserve">heritage celebration days, or inclusive trips) by July 2026. Aim to improve attendance by </w:t>
            </w:r>
            <w:r w:rsidRPr="00AD5B2C">
              <w:rPr>
                <w:b/>
                <w:bCs/>
              </w:rPr>
              <w:t>5% among identified target groups</w:t>
            </w:r>
            <w:r w:rsidRPr="00AD5B2C">
              <w:t xml:space="preserve"> </w:t>
            </w:r>
            <w:r w:rsidR="00162894" w:rsidRPr="00162894">
              <w:rPr>
                <w:b/>
                <w:bCs/>
              </w:rPr>
              <w:t>(TBC)</w:t>
            </w:r>
            <w:r w:rsidRPr="00162894">
              <w:rPr>
                <w:b/>
                <w:bCs/>
              </w:rPr>
              <w:t>(</w:t>
            </w:r>
            <w:r w:rsidRPr="00AD5B2C">
              <w:t>e.g. those with &lt;90% attendance) through these initiatives.</w:t>
            </w:r>
          </w:p>
        </w:tc>
        <w:tc>
          <w:tcPr>
            <w:tcW w:w="2342" w:type="dxa"/>
            <w:gridSpan w:val="2"/>
            <w:shd w:val="clear" w:color="auto" w:fill="FFFFFF" w:themeFill="background1"/>
          </w:tcPr>
          <w:p w14:paraId="01C19720" w14:textId="42695331" w:rsidR="00AD5B2C" w:rsidRPr="00AD5B2C" w:rsidRDefault="00AD5B2C">
            <w:r w:rsidRPr="00AD5B2C">
              <w:lastRenderedPageBreak/>
              <w:t>Use existing structures such as the school council, PTA, and wellbeing leads to recruit representatives, with dedicated time and support for student voice, and small-scale funding for implementing initiatives.</w:t>
            </w:r>
          </w:p>
        </w:tc>
        <w:tc>
          <w:tcPr>
            <w:tcW w:w="2343" w:type="dxa"/>
            <w:gridSpan w:val="2"/>
            <w:shd w:val="clear" w:color="auto" w:fill="FFFFFF" w:themeFill="background1"/>
          </w:tcPr>
          <w:p w14:paraId="7ACF4678" w14:textId="5249B675" w:rsidR="00AD5B2C" w:rsidRPr="00AD5B2C" w:rsidRDefault="00AD5B2C">
            <w:r w:rsidRPr="00AD5B2C">
              <w:t xml:space="preserve">Directly aligned with </w:t>
            </w:r>
            <w:r w:rsidRPr="00AD5B2C">
              <w:rPr>
                <w:i/>
                <w:iCs/>
              </w:rPr>
              <w:t>The Big Ambition’s</w:t>
            </w:r>
            <w:r w:rsidRPr="00AD5B2C">
              <w:t xml:space="preserve"> emphasis on </w:t>
            </w:r>
            <w:r w:rsidRPr="00AD5B2C">
              <w:rPr>
                <w:b/>
                <w:bCs/>
              </w:rPr>
              <w:t>youth voice, inclusive design</w:t>
            </w:r>
            <w:r w:rsidRPr="00AD5B2C">
              <w:t xml:space="preserve">, and tackling </w:t>
            </w:r>
            <w:r w:rsidRPr="00AD5B2C">
              <w:rPr>
                <w:b/>
                <w:bCs/>
              </w:rPr>
              <w:t>cultural and social barriers to attendance</w:t>
            </w:r>
            <w:r w:rsidRPr="00AD5B2C">
              <w:t>, ensuring interventions are co-produced</w:t>
            </w:r>
            <w:r w:rsidR="00162894">
              <w:t>.</w:t>
            </w:r>
          </w:p>
        </w:tc>
        <w:tc>
          <w:tcPr>
            <w:tcW w:w="2343" w:type="dxa"/>
            <w:gridSpan w:val="2"/>
            <w:shd w:val="clear" w:color="auto" w:fill="FFFFFF" w:themeFill="background1"/>
          </w:tcPr>
          <w:p w14:paraId="10F7A2CB" w14:textId="7B26DE00" w:rsidR="00AD5B2C" w:rsidRPr="00AD5B2C" w:rsidRDefault="00AD5B2C">
            <w:r w:rsidRPr="00AD5B2C">
              <w:t>Launch the S</w:t>
            </w:r>
            <w:r w:rsidR="00762089">
              <w:t>tudent Cultural Council</w:t>
            </w:r>
            <w:r w:rsidRPr="00AD5B2C">
              <w:t xml:space="preserve"> by </w:t>
            </w:r>
            <w:r w:rsidRPr="00AD5B2C">
              <w:rPr>
                <w:b/>
                <w:bCs/>
              </w:rPr>
              <w:t>October 2025</w:t>
            </w:r>
            <w:r w:rsidRPr="00AD5B2C">
              <w:t xml:space="preserve">, implement the first student-led initiative by </w:t>
            </w:r>
            <w:r w:rsidRPr="00AD5B2C">
              <w:rPr>
                <w:b/>
                <w:bCs/>
              </w:rPr>
              <w:t>January 2026</w:t>
            </w:r>
            <w:r w:rsidRPr="00AD5B2C">
              <w:t xml:space="preserve">, and evaluate the impact on attendance and engagement by </w:t>
            </w:r>
            <w:r w:rsidRPr="00AD5B2C">
              <w:rPr>
                <w:b/>
                <w:bCs/>
              </w:rPr>
              <w:t>July 2026</w:t>
            </w:r>
            <w:r w:rsidRPr="00AD5B2C">
              <w:t>.</w:t>
            </w:r>
          </w:p>
        </w:tc>
      </w:tr>
      <w:tr w:rsidR="00357282" w14:paraId="66DED961" w14:textId="77777777" w:rsidTr="00357282">
        <w:trPr>
          <w:trHeight w:val="250"/>
        </w:trPr>
        <w:tc>
          <w:tcPr>
            <w:tcW w:w="14056" w:type="dxa"/>
            <w:gridSpan w:val="11"/>
            <w:shd w:val="clear" w:color="auto" w:fill="E8E8E8" w:themeFill="background2"/>
          </w:tcPr>
          <w:p w14:paraId="351AF968" w14:textId="77777777" w:rsidR="00357282" w:rsidRPr="00AD5B2C" w:rsidRDefault="00357282"/>
        </w:tc>
      </w:tr>
      <w:tr w:rsidR="00357282" w14:paraId="3AB0F2BE" w14:textId="77777777" w:rsidTr="00357282">
        <w:trPr>
          <w:trHeight w:val="250"/>
        </w:trPr>
        <w:tc>
          <w:tcPr>
            <w:tcW w:w="2342" w:type="dxa"/>
            <w:shd w:val="clear" w:color="auto" w:fill="FFFFFF" w:themeFill="background1"/>
          </w:tcPr>
          <w:p w14:paraId="55518054" w14:textId="634A1F0F" w:rsidR="00357282" w:rsidRPr="00357282" w:rsidRDefault="00357282">
            <w:pPr>
              <w:rPr>
                <w:b/>
                <w:bCs/>
              </w:rPr>
            </w:pPr>
            <w:r>
              <w:rPr>
                <w:b/>
                <w:bCs/>
              </w:rPr>
              <w:t xml:space="preserve">2.7 </w:t>
            </w:r>
            <w:r w:rsidRPr="00357282">
              <w:t xml:space="preserve">Offer shared learning opportunities between ‘experts by experience’, </w:t>
            </w:r>
            <w:r w:rsidR="00F710C5">
              <w:t xml:space="preserve">voluntary sector, local authority leads, </w:t>
            </w:r>
            <w:r w:rsidRPr="00357282">
              <w:t xml:space="preserve">school staff, MAT staff (including Attendance Policy Leads) and statutory services to inform the Borough’s desired relationship first cultural approach, build empathy and refine </w:t>
            </w:r>
            <w:r w:rsidRPr="00357282">
              <w:lastRenderedPageBreak/>
              <w:t>school and service approaches</w:t>
            </w:r>
            <w:r w:rsidR="001B35EF">
              <w:t>.</w:t>
            </w:r>
          </w:p>
        </w:tc>
        <w:tc>
          <w:tcPr>
            <w:tcW w:w="2343" w:type="dxa"/>
            <w:gridSpan w:val="2"/>
            <w:shd w:val="clear" w:color="auto" w:fill="FFFFFF" w:themeFill="background1"/>
          </w:tcPr>
          <w:p w14:paraId="32B505DC" w14:textId="419F155B" w:rsidR="00357282" w:rsidRPr="00AD5B2C" w:rsidRDefault="00357282">
            <w:r w:rsidRPr="00357282">
              <w:lastRenderedPageBreak/>
              <w:t xml:space="preserve">Facilitate a </w:t>
            </w:r>
            <w:r w:rsidRPr="00357282">
              <w:rPr>
                <w:b/>
                <w:bCs/>
              </w:rPr>
              <w:t xml:space="preserve">borough-wide Cultural Inclusion and Attendance Learning </w:t>
            </w:r>
            <w:r w:rsidR="00D77CC6">
              <w:rPr>
                <w:b/>
                <w:bCs/>
              </w:rPr>
              <w:t>Network (TBC)</w:t>
            </w:r>
            <w:r w:rsidRPr="00357282">
              <w:t xml:space="preserve">, bringing together </w:t>
            </w:r>
            <w:r w:rsidRPr="00357282">
              <w:rPr>
                <w:b/>
                <w:bCs/>
              </w:rPr>
              <w:t>experts by experience</w:t>
            </w:r>
            <w:r w:rsidRPr="00357282">
              <w:t xml:space="preserve"> (e.g. students, parents with lived experience of attendance challenges), </w:t>
            </w:r>
            <w:r w:rsidR="00D77CC6">
              <w:t xml:space="preserve">voluntary sector, </w:t>
            </w:r>
            <w:r w:rsidRPr="00357282">
              <w:t>school/MAT staff, and statutory services to co-</w:t>
            </w:r>
            <w:r w:rsidRPr="00357282">
              <w:lastRenderedPageBreak/>
              <w:t>develop culturally responsive attendance strategies and build relational, empathetic practice.</w:t>
            </w:r>
          </w:p>
        </w:tc>
        <w:tc>
          <w:tcPr>
            <w:tcW w:w="2343" w:type="dxa"/>
            <w:gridSpan w:val="2"/>
            <w:shd w:val="clear" w:color="auto" w:fill="FFFFFF" w:themeFill="background1"/>
          </w:tcPr>
          <w:p w14:paraId="3F7CFCE5" w14:textId="4CD16598" w:rsidR="00357282" w:rsidRPr="00357282" w:rsidRDefault="00357282" w:rsidP="00357282">
            <w:r w:rsidRPr="00357282">
              <w:lastRenderedPageBreak/>
              <w:t xml:space="preserve">Deliver </w:t>
            </w:r>
            <w:r w:rsidRPr="00357282">
              <w:rPr>
                <w:b/>
                <w:bCs/>
              </w:rPr>
              <w:t>a minimum of 4 shared learning events</w:t>
            </w:r>
            <w:r w:rsidRPr="00357282">
              <w:t xml:space="preserve"> (e.g. workshops, panels, roundtables) across the 2025–2026 academic year, with representation from </w:t>
            </w:r>
            <w:r w:rsidRPr="00357282">
              <w:rPr>
                <w:b/>
                <w:bCs/>
              </w:rPr>
              <w:t>at least 80% of borough schools/MATs</w:t>
            </w:r>
            <w:r w:rsidR="004A793A">
              <w:rPr>
                <w:b/>
                <w:bCs/>
              </w:rPr>
              <w:t xml:space="preserve"> (TBC)</w:t>
            </w:r>
            <w:r w:rsidRPr="00357282">
              <w:t xml:space="preserve">, and collect feedback from participants to inform </w:t>
            </w:r>
            <w:r w:rsidR="004A793A">
              <w:rPr>
                <w:b/>
                <w:bCs/>
              </w:rPr>
              <w:t xml:space="preserve"> </w:t>
            </w:r>
            <w:r w:rsidRPr="00357282">
              <w:rPr>
                <w:b/>
                <w:bCs/>
              </w:rPr>
              <w:t xml:space="preserve">key policy or practice </w:t>
            </w:r>
            <w:r w:rsidRPr="00357282">
              <w:rPr>
                <w:b/>
                <w:bCs/>
              </w:rPr>
              <w:lastRenderedPageBreak/>
              <w:t>changes</w:t>
            </w:r>
            <w:r w:rsidRPr="00357282">
              <w:t xml:space="preserve"> related to attendance and inclusion.</w:t>
            </w:r>
          </w:p>
          <w:p w14:paraId="65AE9F9D" w14:textId="77777777" w:rsidR="00357282" w:rsidRPr="00AD5B2C" w:rsidRDefault="00357282"/>
        </w:tc>
        <w:tc>
          <w:tcPr>
            <w:tcW w:w="2342" w:type="dxa"/>
            <w:gridSpan w:val="2"/>
            <w:shd w:val="clear" w:color="auto" w:fill="FFFFFF" w:themeFill="background1"/>
          </w:tcPr>
          <w:p w14:paraId="772E29F1" w14:textId="4C01F228" w:rsidR="00357282" w:rsidRPr="00AD5B2C" w:rsidRDefault="00357282">
            <w:r w:rsidRPr="00357282">
              <w:lastRenderedPageBreak/>
              <w:t>Utili</w:t>
            </w:r>
            <w:r w:rsidR="004A793A">
              <w:t>s</w:t>
            </w:r>
            <w:r w:rsidRPr="00357282">
              <w:t xml:space="preserve">e existing networks such as local authority education forums, safeguarding boards, </w:t>
            </w:r>
            <w:r w:rsidR="004A793A">
              <w:t xml:space="preserve">voluntary sector working parties, NEARC </w:t>
            </w:r>
            <w:r w:rsidRPr="00357282">
              <w:t xml:space="preserve">and parent voice panels; provide CPD accreditation for participating; offer </w:t>
            </w:r>
            <w:r w:rsidR="008A7DF1">
              <w:t xml:space="preserve"> </w:t>
            </w:r>
            <w:r w:rsidRPr="00357282">
              <w:t xml:space="preserve"> recognition for community experts involved.</w:t>
            </w:r>
          </w:p>
        </w:tc>
        <w:tc>
          <w:tcPr>
            <w:tcW w:w="2343" w:type="dxa"/>
            <w:gridSpan w:val="2"/>
            <w:shd w:val="clear" w:color="auto" w:fill="FFFFFF" w:themeFill="background1"/>
          </w:tcPr>
          <w:p w14:paraId="410BEF92" w14:textId="25E33C93" w:rsidR="00357282" w:rsidRPr="00AD5B2C" w:rsidRDefault="00357282">
            <w:r w:rsidRPr="00357282">
              <w:t xml:space="preserve">Aligns directly with the </w:t>
            </w:r>
            <w:r w:rsidRPr="00357282">
              <w:rPr>
                <w:b/>
                <w:bCs/>
              </w:rPr>
              <w:t>relationship-first cultural approach</w:t>
            </w:r>
            <w:r w:rsidRPr="00357282">
              <w:t xml:space="preserve"> promoted in </w:t>
            </w:r>
            <w:r w:rsidRPr="00357282">
              <w:rPr>
                <w:i/>
                <w:iCs/>
              </w:rPr>
              <w:t>The Big Ambition</w:t>
            </w:r>
            <w:r w:rsidRPr="00357282">
              <w:t xml:space="preserve">, focusing on </w:t>
            </w:r>
            <w:r w:rsidRPr="00357282">
              <w:rPr>
                <w:b/>
                <w:bCs/>
              </w:rPr>
              <w:t>empathy, inclusion, and culturally responsive interventions</w:t>
            </w:r>
            <w:r w:rsidRPr="00357282">
              <w:t xml:space="preserve"> to improve school attendance, particularly for underrepresented or disengaged groups.</w:t>
            </w:r>
          </w:p>
        </w:tc>
        <w:tc>
          <w:tcPr>
            <w:tcW w:w="2343" w:type="dxa"/>
            <w:gridSpan w:val="2"/>
            <w:shd w:val="clear" w:color="auto" w:fill="FFFFFF" w:themeFill="background1"/>
          </w:tcPr>
          <w:p w14:paraId="1EFF140D" w14:textId="719D0F8B" w:rsidR="00357282" w:rsidRPr="00AD5B2C" w:rsidRDefault="00357282">
            <w:r w:rsidRPr="00357282">
              <w:t xml:space="preserve">Launch the </w:t>
            </w:r>
            <w:r w:rsidR="008A7DF1">
              <w:t xml:space="preserve">Cultural Inclusion and Attendance Learning </w:t>
            </w:r>
            <w:r w:rsidRPr="00357282">
              <w:t xml:space="preserve">programme by </w:t>
            </w:r>
            <w:r w:rsidRPr="00357282">
              <w:rPr>
                <w:b/>
                <w:bCs/>
              </w:rPr>
              <w:t>November 2025</w:t>
            </w:r>
            <w:r w:rsidRPr="00357282">
              <w:t xml:space="preserve">, complete all sessions by </w:t>
            </w:r>
            <w:r w:rsidRPr="00357282">
              <w:rPr>
                <w:b/>
                <w:bCs/>
              </w:rPr>
              <w:t>June 2026</w:t>
            </w:r>
            <w:r w:rsidRPr="00357282">
              <w:t xml:space="preserve">, and publish a summary report of insights and recommended actions by </w:t>
            </w:r>
            <w:r w:rsidRPr="00357282">
              <w:rPr>
                <w:b/>
                <w:bCs/>
              </w:rPr>
              <w:t>July 202</w:t>
            </w:r>
            <w:r w:rsidR="008A7DF1">
              <w:rPr>
                <w:b/>
                <w:bCs/>
              </w:rPr>
              <w:t>6 (could we link HDRC research opportunity?)</w:t>
            </w:r>
          </w:p>
        </w:tc>
      </w:tr>
      <w:tr w:rsidR="00357282" w14:paraId="1EAF823F" w14:textId="77777777" w:rsidTr="00357282">
        <w:trPr>
          <w:trHeight w:val="250"/>
        </w:trPr>
        <w:tc>
          <w:tcPr>
            <w:tcW w:w="14056" w:type="dxa"/>
            <w:gridSpan w:val="11"/>
            <w:shd w:val="clear" w:color="auto" w:fill="E8E8E8" w:themeFill="background2"/>
          </w:tcPr>
          <w:p w14:paraId="13898B3E" w14:textId="77777777" w:rsidR="00357282" w:rsidRPr="00357282" w:rsidRDefault="00357282"/>
        </w:tc>
      </w:tr>
      <w:tr w:rsidR="00357282" w14:paraId="2389145E" w14:textId="77777777" w:rsidTr="00357282">
        <w:trPr>
          <w:trHeight w:val="250"/>
        </w:trPr>
        <w:tc>
          <w:tcPr>
            <w:tcW w:w="2342" w:type="dxa"/>
            <w:shd w:val="clear" w:color="auto" w:fill="FFFFFF" w:themeFill="background1"/>
          </w:tcPr>
          <w:p w14:paraId="37413A4B" w14:textId="03AE4FF4" w:rsidR="00357282" w:rsidRPr="00357282" w:rsidRDefault="00357282">
            <w:r w:rsidRPr="00357282">
              <w:rPr>
                <w:b/>
                <w:bCs/>
              </w:rPr>
              <w:t>3.3</w:t>
            </w:r>
            <w:r>
              <w:rPr>
                <w:b/>
                <w:bCs/>
              </w:rPr>
              <w:t xml:space="preserve"> </w:t>
            </w:r>
            <w:r w:rsidRPr="00357282">
              <w:t>Strengthen data driven approaches (within schools / colleges) to identify any pupil whose typically strong attendance is at risk of decline. Evidence from DfE and published studies suggest this will likely be (school) context specific but that there are also typically some young people with characteristics more likely to be at risk</w:t>
            </w:r>
          </w:p>
        </w:tc>
        <w:tc>
          <w:tcPr>
            <w:tcW w:w="2343" w:type="dxa"/>
            <w:gridSpan w:val="2"/>
            <w:shd w:val="clear" w:color="auto" w:fill="FFFFFF" w:themeFill="background1"/>
          </w:tcPr>
          <w:p w14:paraId="5C662F01" w14:textId="24379765" w:rsidR="00357282" w:rsidRPr="00357282" w:rsidRDefault="00C6710B">
            <w:r w:rsidRPr="00C6710B">
              <w:t xml:space="preserve">Implement a </w:t>
            </w:r>
            <w:r w:rsidRPr="00C6710B">
              <w:rPr>
                <w:b/>
                <w:bCs/>
              </w:rPr>
              <w:t>data-informed early warning system</w:t>
            </w:r>
            <w:r w:rsidRPr="00C6710B">
              <w:t xml:space="preserve"> by December 2025 to identify pupils with previously strong attendance (above 95%) whose attendance has declined </w:t>
            </w:r>
            <w:r w:rsidR="00AE16B8">
              <w:t xml:space="preserve">over </w:t>
            </w:r>
            <w:r w:rsidRPr="00C6710B">
              <w:rPr>
                <w:b/>
                <w:bCs/>
              </w:rPr>
              <w:t>two consecutive terms</w:t>
            </w:r>
            <w:r w:rsidRPr="00C6710B">
              <w:t>, with focused attention on context-specific risk factors such as cultural or social disengagement.</w:t>
            </w:r>
          </w:p>
        </w:tc>
        <w:tc>
          <w:tcPr>
            <w:tcW w:w="2343" w:type="dxa"/>
            <w:gridSpan w:val="2"/>
            <w:shd w:val="clear" w:color="auto" w:fill="FFFFFF" w:themeFill="background1"/>
          </w:tcPr>
          <w:p w14:paraId="57261872" w14:textId="5FD31C0D" w:rsidR="00357282" w:rsidRPr="00357282" w:rsidRDefault="00C6710B">
            <w:r w:rsidRPr="00C6710B">
              <w:t xml:space="preserve">Track and flag </w:t>
            </w:r>
            <w:r w:rsidRPr="00C6710B">
              <w:rPr>
                <w:b/>
                <w:bCs/>
              </w:rPr>
              <w:t>100% of pupils</w:t>
            </w:r>
            <w:r w:rsidRPr="00C6710B">
              <w:t xml:space="preserve"> meeting early decline thresholds across the academic year, and ensure that </w:t>
            </w:r>
            <w:r w:rsidRPr="00C6710B">
              <w:rPr>
                <w:b/>
                <w:bCs/>
              </w:rPr>
              <w:t>at least 75% of identified pupils</w:t>
            </w:r>
            <w:r w:rsidRPr="00C6710B">
              <w:t xml:space="preserve"> </w:t>
            </w:r>
            <w:r w:rsidR="00394171">
              <w:t>(</w:t>
            </w:r>
            <w:r w:rsidR="00394171" w:rsidRPr="00394171">
              <w:rPr>
                <w:b/>
                <w:bCs/>
              </w:rPr>
              <w:t>TBC</w:t>
            </w:r>
            <w:r w:rsidR="00394171">
              <w:t>)</w:t>
            </w:r>
            <w:r w:rsidRPr="00C6710B">
              <w:t xml:space="preserve">receive </w:t>
            </w:r>
            <w:r w:rsidRPr="00C6710B">
              <w:rPr>
                <w:b/>
                <w:bCs/>
              </w:rPr>
              <w:t>a tailored cultural enrichment or pastoral intervention</w:t>
            </w:r>
            <w:r w:rsidRPr="00C6710B">
              <w:t xml:space="preserve"> (e.g. mentor matching, cultural club access, family outreach).</w:t>
            </w:r>
          </w:p>
        </w:tc>
        <w:tc>
          <w:tcPr>
            <w:tcW w:w="2342" w:type="dxa"/>
            <w:gridSpan w:val="2"/>
            <w:shd w:val="clear" w:color="auto" w:fill="FFFFFF" w:themeFill="background1"/>
          </w:tcPr>
          <w:p w14:paraId="72B24C1F" w14:textId="77777777" w:rsidR="00357282" w:rsidRDefault="00C6710B">
            <w:pPr>
              <w:rPr>
                <w:b/>
                <w:bCs/>
              </w:rPr>
            </w:pPr>
            <w:r w:rsidRPr="00C6710B">
              <w:t xml:space="preserve">Use existing MIS (Management Information System) tools and attendance dashboards; train attendance leads and pastoral staff to </w:t>
            </w:r>
            <w:r w:rsidR="00394171" w:rsidRPr="00C6710B">
              <w:t>analyse</w:t>
            </w:r>
            <w:r w:rsidRPr="00C6710B">
              <w:t xml:space="preserve"> trends and embed cultural context into risk assessments (e.g. EAL background, transition years, faith-based observances, etc.).</w:t>
            </w:r>
            <w:r w:rsidR="000719F3">
              <w:t xml:space="preserve"> </w:t>
            </w:r>
            <w:r w:rsidR="000719F3" w:rsidRPr="000719F3">
              <w:rPr>
                <w:b/>
                <w:bCs/>
              </w:rPr>
              <w:t>School perspective on this one</w:t>
            </w:r>
            <w:r w:rsidR="000719F3">
              <w:rPr>
                <w:b/>
                <w:bCs/>
              </w:rPr>
              <w:t xml:space="preserve"> VCS/LA would not have access to tool</w:t>
            </w:r>
          </w:p>
          <w:p w14:paraId="6B84BA82" w14:textId="2577DBCD" w:rsidR="00C93471" w:rsidRPr="00357282" w:rsidRDefault="00C93471"/>
        </w:tc>
        <w:tc>
          <w:tcPr>
            <w:tcW w:w="2343" w:type="dxa"/>
            <w:gridSpan w:val="2"/>
            <w:shd w:val="clear" w:color="auto" w:fill="FFFFFF" w:themeFill="background1"/>
          </w:tcPr>
          <w:p w14:paraId="5DF3F90C" w14:textId="00659B8D" w:rsidR="00357282" w:rsidRPr="00357282" w:rsidRDefault="00C6710B">
            <w:r w:rsidRPr="00C6710B">
              <w:t xml:space="preserve">This supports </w:t>
            </w:r>
            <w:r w:rsidRPr="00C6710B">
              <w:rPr>
                <w:i/>
                <w:iCs/>
              </w:rPr>
              <w:t>The Big Ambition’s</w:t>
            </w:r>
            <w:r w:rsidRPr="00C6710B">
              <w:t xml:space="preserve"> focus on </w:t>
            </w:r>
            <w:r w:rsidRPr="00C6710B">
              <w:rPr>
                <w:b/>
                <w:bCs/>
              </w:rPr>
              <w:t>preventative, inclusive attendance strategies</w:t>
            </w:r>
            <w:r w:rsidRPr="00C6710B">
              <w:t>—recogni</w:t>
            </w:r>
            <w:r w:rsidR="00C93471">
              <w:t>s</w:t>
            </w:r>
            <w:r w:rsidRPr="00C6710B">
              <w:t xml:space="preserve">ing that </w:t>
            </w:r>
            <w:r w:rsidRPr="00C6710B">
              <w:rPr>
                <w:b/>
                <w:bCs/>
              </w:rPr>
              <w:t>early intervention</w:t>
            </w:r>
            <w:r w:rsidRPr="00C6710B">
              <w:t xml:space="preserve">, combined with </w:t>
            </w:r>
            <w:r w:rsidRPr="00C6710B">
              <w:rPr>
                <w:b/>
                <w:bCs/>
              </w:rPr>
              <w:t>culturally aware practice</w:t>
            </w:r>
            <w:r w:rsidRPr="00C6710B">
              <w:t>, helps sustain engagement for students at emerging risk of disengagement.</w:t>
            </w:r>
          </w:p>
        </w:tc>
        <w:tc>
          <w:tcPr>
            <w:tcW w:w="2343" w:type="dxa"/>
            <w:gridSpan w:val="2"/>
            <w:shd w:val="clear" w:color="auto" w:fill="FFFFFF" w:themeFill="background1"/>
          </w:tcPr>
          <w:p w14:paraId="3EBAE8FD" w14:textId="51668EF8" w:rsidR="00357282" w:rsidRPr="00357282" w:rsidRDefault="00C6710B">
            <w:r w:rsidRPr="00C6710B">
              <w:t xml:space="preserve">Early warning system operational by </w:t>
            </w:r>
            <w:r w:rsidRPr="00C6710B">
              <w:rPr>
                <w:b/>
                <w:bCs/>
              </w:rPr>
              <w:t>December 2025</w:t>
            </w:r>
            <w:r w:rsidRPr="00C6710B">
              <w:t xml:space="preserve">, mid-year data review by </w:t>
            </w:r>
            <w:r w:rsidRPr="00C6710B">
              <w:rPr>
                <w:b/>
                <w:bCs/>
              </w:rPr>
              <w:t>April 2026</w:t>
            </w:r>
            <w:r w:rsidRPr="00C6710B">
              <w:t xml:space="preserve">, and full impact evaluation on attendance outcomes completed by </w:t>
            </w:r>
            <w:r w:rsidRPr="00C6710B">
              <w:rPr>
                <w:b/>
                <w:bCs/>
              </w:rPr>
              <w:t>July 2026</w:t>
            </w:r>
            <w:r w:rsidRPr="00C6710B">
              <w:t>.</w:t>
            </w:r>
          </w:p>
        </w:tc>
      </w:tr>
      <w:tr w:rsidR="00C6710B" w14:paraId="4D9F9B42" w14:textId="77777777" w:rsidTr="00C6710B">
        <w:trPr>
          <w:trHeight w:val="250"/>
        </w:trPr>
        <w:tc>
          <w:tcPr>
            <w:tcW w:w="14056" w:type="dxa"/>
            <w:gridSpan w:val="11"/>
            <w:shd w:val="clear" w:color="auto" w:fill="E8E8E8" w:themeFill="background2"/>
          </w:tcPr>
          <w:p w14:paraId="59D14DB9" w14:textId="77777777" w:rsidR="00C6710B" w:rsidRPr="00C6710B" w:rsidRDefault="00C6710B"/>
        </w:tc>
      </w:tr>
      <w:tr w:rsidR="00C6710B" w14:paraId="3EC5446C" w14:textId="77777777" w:rsidTr="00C6710B">
        <w:trPr>
          <w:trHeight w:val="250"/>
        </w:trPr>
        <w:tc>
          <w:tcPr>
            <w:tcW w:w="2342" w:type="dxa"/>
            <w:shd w:val="clear" w:color="auto" w:fill="FFFFFF" w:themeFill="background1"/>
          </w:tcPr>
          <w:p w14:paraId="319408D1" w14:textId="70ADFE65" w:rsidR="00C6710B" w:rsidRPr="00C6710B" w:rsidRDefault="00C6710B">
            <w:r w:rsidRPr="00C6710B">
              <w:rPr>
                <w:b/>
                <w:bCs/>
              </w:rPr>
              <w:lastRenderedPageBreak/>
              <w:t>3.4</w:t>
            </w:r>
            <w:r>
              <w:rPr>
                <w:b/>
                <w:bCs/>
              </w:rPr>
              <w:t xml:space="preserve"> </w:t>
            </w:r>
            <w:r w:rsidR="008421CD" w:rsidRPr="008421CD">
              <w:t>Encourage the roll out of relational practice and participation in cross-sector training linked to the Theory of Change for this Framework that emphasis a need for all children and families to feel listened to and understood – whether by school, service or voluntary and community sector staff they encounter)</w:t>
            </w:r>
          </w:p>
        </w:tc>
        <w:tc>
          <w:tcPr>
            <w:tcW w:w="2343" w:type="dxa"/>
            <w:gridSpan w:val="2"/>
            <w:shd w:val="clear" w:color="auto" w:fill="FFFFFF" w:themeFill="background1"/>
          </w:tcPr>
          <w:p w14:paraId="172311AB" w14:textId="3646A8BD" w:rsidR="00C6710B" w:rsidRPr="00C6710B" w:rsidRDefault="008421CD">
            <w:r w:rsidRPr="008421CD">
              <w:t xml:space="preserve">Embed </w:t>
            </w:r>
            <w:r w:rsidRPr="008421CD">
              <w:rPr>
                <w:b/>
                <w:bCs/>
              </w:rPr>
              <w:t>relational practice training</w:t>
            </w:r>
            <w:r w:rsidRPr="008421CD">
              <w:t xml:space="preserve"> across all schools and relevant partner services in the borough, ensuring staff are equipped to create a culture where children and families feel </w:t>
            </w:r>
            <w:r w:rsidRPr="008421CD">
              <w:rPr>
                <w:b/>
                <w:bCs/>
              </w:rPr>
              <w:t>listened to, understood, and supported</w:t>
            </w:r>
            <w:r w:rsidRPr="008421CD">
              <w:t>—particularly around attendance-related challenges.</w:t>
            </w:r>
          </w:p>
        </w:tc>
        <w:tc>
          <w:tcPr>
            <w:tcW w:w="2343" w:type="dxa"/>
            <w:gridSpan w:val="2"/>
            <w:shd w:val="clear" w:color="auto" w:fill="FFFFFF" w:themeFill="background1"/>
          </w:tcPr>
          <w:p w14:paraId="37699B7F" w14:textId="6D87273B" w:rsidR="00C6710B" w:rsidRPr="00C6710B" w:rsidRDefault="008421CD">
            <w:r w:rsidRPr="008421CD">
              <w:t xml:space="preserve">By July 2026, ensure </w:t>
            </w:r>
            <w:r w:rsidRPr="008421CD">
              <w:rPr>
                <w:b/>
                <w:bCs/>
              </w:rPr>
              <w:t>100% of schools and at least 75% of partner services</w:t>
            </w:r>
            <w:r w:rsidR="000F6041">
              <w:rPr>
                <w:b/>
                <w:bCs/>
              </w:rPr>
              <w:t xml:space="preserve"> (TBC)</w:t>
            </w:r>
            <w:r w:rsidRPr="008421CD">
              <w:t xml:space="preserve"> (e.g. youth, health, and voluntary sector organisations) have </w:t>
            </w:r>
            <w:r w:rsidRPr="008421CD">
              <w:rPr>
                <w:b/>
                <w:bCs/>
              </w:rPr>
              <w:t>nominated and trained at least one Relational Practice Champion</w:t>
            </w:r>
            <w:r w:rsidR="000F6041">
              <w:rPr>
                <w:b/>
                <w:bCs/>
              </w:rPr>
              <w:t xml:space="preserve"> (Where would we access training and is there a cost)</w:t>
            </w:r>
            <w:r w:rsidRPr="008421CD">
              <w:t xml:space="preserve">, and that </w:t>
            </w:r>
            <w:r w:rsidRPr="008421CD">
              <w:rPr>
                <w:b/>
                <w:bCs/>
              </w:rPr>
              <w:t>90% of participants report increased confidence</w:t>
            </w:r>
            <w:r w:rsidRPr="008421CD">
              <w:t xml:space="preserve"> in engaging families through feedback surveys.</w:t>
            </w:r>
          </w:p>
        </w:tc>
        <w:tc>
          <w:tcPr>
            <w:tcW w:w="2342" w:type="dxa"/>
            <w:gridSpan w:val="2"/>
            <w:shd w:val="clear" w:color="auto" w:fill="FFFFFF" w:themeFill="background1"/>
          </w:tcPr>
          <w:p w14:paraId="697F30D3" w14:textId="339DB286" w:rsidR="00C6710B" w:rsidRPr="00C6710B" w:rsidRDefault="008421CD">
            <w:r w:rsidRPr="008421CD">
              <w:t xml:space="preserve">Deliver </w:t>
            </w:r>
            <w:r w:rsidRPr="008421CD">
              <w:rPr>
                <w:b/>
                <w:bCs/>
              </w:rPr>
              <w:t>a minimum of 3 cross-sector training cohorts</w:t>
            </w:r>
            <w:r w:rsidRPr="008421CD">
              <w:t xml:space="preserve"> between November 2025 and June 2026, co-led by trainers with lived experience and professionals familiar with the borough’s Theory of Change. Make use of existing training days, CPD time, and inter-agency partnerships to support implementation.</w:t>
            </w:r>
          </w:p>
        </w:tc>
        <w:tc>
          <w:tcPr>
            <w:tcW w:w="2343" w:type="dxa"/>
            <w:gridSpan w:val="2"/>
            <w:shd w:val="clear" w:color="auto" w:fill="FFFFFF" w:themeFill="background1"/>
          </w:tcPr>
          <w:p w14:paraId="4F80F8C0" w14:textId="022B3BE8" w:rsidR="00C6710B" w:rsidRPr="00C6710B" w:rsidRDefault="008421CD">
            <w:r w:rsidRPr="008421CD">
              <w:t xml:space="preserve">This target reflects </w:t>
            </w:r>
            <w:r w:rsidRPr="008421CD">
              <w:rPr>
                <w:i/>
                <w:iCs/>
              </w:rPr>
              <w:t>The Big Ambition’s</w:t>
            </w:r>
            <w:r w:rsidRPr="008421CD">
              <w:t xml:space="preserve"> emphasis on </w:t>
            </w:r>
            <w:r w:rsidRPr="008421CD">
              <w:rPr>
                <w:b/>
                <w:bCs/>
              </w:rPr>
              <w:t>relationship-first culture</w:t>
            </w:r>
            <w:r w:rsidRPr="008421CD">
              <w:t xml:space="preserve"> and ensuring that </w:t>
            </w:r>
            <w:r w:rsidRPr="008421CD">
              <w:rPr>
                <w:b/>
                <w:bCs/>
              </w:rPr>
              <w:t>children and families feel heard</w:t>
            </w:r>
            <w:r w:rsidRPr="008421CD">
              <w:t>, especially when dealing with attendance difficulties or when culturally specific concerns may arise.</w:t>
            </w:r>
          </w:p>
        </w:tc>
        <w:tc>
          <w:tcPr>
            <w:tcW w:w="2343" w:type="dxa"/>
            <w:gridSpan w:val="2"/>
            <w:shd w:val="clear" w:color="auto" w:fill="FFFFFF" w:themeFill="background1"/>
          </w:tcPr>
          <w:p w14:paraId="75E073BE" w14:textId="0D4614F6" w:rsidR="00C6710B" w:rsidRPr="00C6710B" w:rsidRDefault="008421CD">
            <w:r w:rsidRPr="008421CD">
              <w:t xml:space="preserve">Training programme launched by </w:t>
            </w:r>
            <w:r w:rsidRPr="008421CD">
              <w:rPr>
                <w:b/>
                <w:bCs/>
              </w:rPr>
              <w:t>November 2025</w:t>
            </w:r>
            <w:r w:rsidRPr="008421CD">
              <w:t xml:space="preserve">, with all champions in place and relational practices embedded in local settings by </w:t>
            </w:r>
            <w:r w:rsidRPr="008421CD">
              <w:rPr>
                <w:b/>
                <w:bCs/>
              </w:rPr>
              <w:t>July 2026</w:t>
            </w:r>
            <w:r w:rsidRPr="008421CD">
              <w:t xml:space="preserve">, followed by a borough-wide impact review in </w:t>
            </w:r>
            <w:r w:rsidRPr="008421CD">
              <w:rPr>
                <w:b/>
                <w:bCs/>
              </w:rPr>
              <w:t>September 2026</w:t>
            </w:r>
            <w:r w:rsidRPr="008421CD">
              <w:t>.</w:t>
            </w:r>
          </w:p>
        </w:tc>
      </w:tr>
      <w:tr w:rsidR="008421CD" w14:paraId="4AD37A0F" w14:textId="77777777" w:rsidTr="008421CD">
        <w:trPr>
          <w:trHeight w:val="250"/>
        </w:trPr>
        <w:tc>
          <w:tcPr>
            <w:tcW w:w="14056" w:type="dxa"/>
            <w:gridSpan w:val="11"/>
            <w:shd w:val="clear" w:color="auto" w:fill="E8E8E8" w:themeFill="background2"/>
          </w:tcPr>
          <w:p w14:paraId="141D8066" w14:textId="77777777" w:rsidR="008421CD" w:rsidRPr="008421CD" w:rsidRDefault="008421CD"/>
        </w:tc>
      </w:tr>
      <w:tr w:rsidR="008421CD" w14:paraId="7A8155E1" w14:textId="77777777" w:rsidTr="008421CD">
        <w:trPr>
          <w:trHeight w:val="250"/>
        </w:trPr>
        <w:tc>
          <w:tcPr>
            <w:tcW w:w="2342" w:type="dxa"/>
            <w:shd w:val="clear" w:color="auto" w:fill="FFFFFF" w:themeFill="background1"/>
          </w:tcPr>
          <w:p w14:paraId="5324F756" w14:textId="35556CE4" w:rsidR="008421CD" w:rsidRPr="008421CD" w:rsidRDefault="009F3F1A">
            <w:r w:rsidRPr="009F3F1A">
              <w:rPr>
                <w:b/>
                <w:bCs/>
              </w:rPr>
              <w:t>3.9</w:t>
            </w:r>
            <w:r>
              <w:t xml:space="preserve"> </w:t>
            </w:r>
            <w:r w:rsidRPr="009F3F1A">
              <w:t>Every child has access to an expanded out of school offer (Big Ambition recommendation)</w:t>
            </w:r>
          </w:p>
        </w:tc>
        <w:tc>
          <w:tcPr>
            <w:tcW w:w="2343" w:type="dxa"/>
            <w:gridSpan w:val="2"/>
            <w:shd w:val="clear" w:color="auto" w:fill="FFFFFF" w:themeFill="background1"/>
          </w:tcPr>
          <w:p w14:paraId="4C318A70" w14:textId="0CBA0E90" w:rsidR="008421CD" w:rsidRPr="000F6041" w:rsidRDefault="009F3F1A">
            <w:pPr>
              <w:rPr>
                <w:b/>
                <w:bCs/>
              </w:rPr>
            </w:pPr>
            <w:r w:rsidRPr="009F3F1A">
              <w:t xml:space="preserve">Develop and implement an </w:t>
            </w:r>
            <w:r w:rsidRPr="009F3F1A">
              <w:rPr>
                <w:b/>
                <w:bCs/>
              </w:rPr>
              <w:t>expanded out-of-school enrichment programme</w:t>
            </w:r>
            <w:r w:rsidRPr="009F3F1A">
              <w:t xml:space="preserve"> that offers every child in the borough access </w:t>
            </w:r>
            <w:r w:rsidRPr="009F3F1A">
              <w:lastRenderedPageBreak/>
              <w:t xml:space="preserve">to at least </w:t>
            </w:r>
            <w:r w:rsidRPr="009F3F1A">
              <w:rPr>
                <w:b/>
                <w:bCs/>
              </w:rPr>
              <w:t>one free or low-cost activity per week</w:t>
            </w:r>
            <w:r w:rsidRPr="009F3F1A">
              <w:t>—including cultural, creative, physical, or community-based options—designed to foster belonging and boost engagement with school.</w:t>
            </w:r>
            <w:r w:rsidR="000F6041">
              <w:t xml:space="preserve"> </w:t>
            </w:r>
            <w:r w:rsidR="000F6041">
              <w:rPr>
                <w:b/>
                <w:bCs/>
              </w:rPr>
              <w:t>Discuss with HAF and Public Health?</w:t>
            </w:r>
          </w:p>
        </w:tc>
        <w:tc>
          <w:tcPr>
            <w:tcW w:w="2343" w:type="dxa"/>
            <w:gridSpan w:val="2"/>
            <w:shd w:val="clear" w:color="auto" w:fill="FFFFFF" w:themeFill="background1"/>
          </w:tcPr>
          <w:p w14:paraId="2398CF9E" w14:textId="20DA26F6" w:rsidR="008421CD" w:rsidRPr="008421CD" w:rsidRDefault="009F3F1A">
            <w:r w:rsidRPr="009F3F1A">
              <w:lastRenderedPageBreak/>
              <w:t xml:space="preserve">By July 2026, ensure </w:t>
            </w:r>
            <w:r w:rsidRPr="009F3F1A">
              <w:rPr>
                <w:b/>
                <w:bCs/>
              </w:rPr>
              <w:t>100% of schools</w:t>
            </w:r>
            <w:r w:rsidRPr="009F3F1A">
              <w:t xml:space="preserve"> have a clear partnership with local providers to deliver extended opportunities, with </w:t>
            </w:r>
            <w:r w:rsidRPr="009F3F1A">
              <w:lastRenderedPageBreak/>
              <w:t xml:space="preserve">at least </w:t>
            </w:r>
            <w:r w:rsidRPr="009F3F1A">
              <w:rPr>
                <w:b/>
                <w:bCs/>
              </w:rPr>
              <w:t>75% of pupils aged 8–16</w:t>
            </w:r>
            <w:r w:rsidRPr="009F3F1A">
              <w:t xml:space="preserve"> </w:t>
            </w:r>
            <w:r w:rsidR="000F6041" w:rsidRPr="000F6041">
              <w:rPr>
                <w:b/>
                <w:bCs/>
              </w:rPr>
              <w:t>(TBC</w:t>
            </w:r>
            <w:r w:rsidR="000F6041">
              <w:t>)</w:t>
            </w:r>
            <w:r w:rsidRPr="009F3F1A">
              <w:t>participating regularly in at least one out-of-school activity. Track and compare attendance rates among participants to identify impact.</w:t>
            </w:r>
          </w:p>
        </w:tc>
        <w:tc>
          <w:tcPr>
            <w:tcW w:w="2342" w:type="dxa"/>
            <w:gridSpan w:val="2"/>
            <w:shd w:val="clear" w:color="auto" w:fill="FFFFFF" w:themeFill="background1"/>
          </w:tcPr>
          <w:p w14:paraId="3861AD93" w14:textId="11DE5EFE" w:rsidR="008421CD" w:rsidRPr="008421CD" w:rsidRDefault="009F3F1A">
            <w:r w:rsidRPr="009F3F1A">
              <w:lastRenderedPageBreak/>
              <w:t xml:space="preserve">Work with local cultural institutions, youth groups, libraries, and sports clubs to offer inclusive and accessible </w:t>
            </w:r>
            <w:r w:rsidRPr="009F3F1A">
              <w:lastRenderedPageBreak/>
              <w:t>sessions, with targeted outreach for pupils with attendance below 90%, and provision tailored to the needs of disadvantaged or marginalised groups.</w:t>
            </w:r>
          </w:p>
        </w:tc>
        <w:tc>
          <w:tcPr>
            <w:tcW w:w="2343" w:type="dxa"/>
            <w:gridSpan w:val="2"/>
            <w:shd w:val="clear" w:color="auto" w:fill="FFFFFF" w:themeFill="background1"/>
          </w:tcPr>
          <w:p w14:paraId="164CBDB1" w14:textId="74048117" w:rsidR="008421CD" w:rsidRPr="008421CD" w:rsidRDefault="009F3F1A">
            <w:r w:rsidRPr="009F3F1A">
              <w:lastRenderedPageBreak/>
              <w:t xml:space="preserve">This directly supports </w:t>
            </w:r>
            <w:r w:rsidRPr="009F3F1A">
              <w:rPr>
                <w:i/>
                <w:iCs/>
              </w:rPr>
              <w:t>The Big Ambition</w:t>
            </w:r>
            <w:r w:rsidRPr="009F3F1A">
              <w:t xml:space="preserve"> by expanding opportunities beyond the school day that </w:t>
            </w:r>
            <w:r w:rsidRPr="009F3F1A">
              <w:rPr>
                <w:b/>
                <w:bCs/>
              </w:rPr>
              <w:t xml:space="preserve">build </w:t>
            </w:r>
            <w:r w:rsidRPr="009F3F1A">
              <w:rPr>
                <w:b/>
                <w:bCs/>
              </w:rPr>
              <w:lastRenderedPageBreak/>
              <w:t>identity, aspiration, and social connection</w:t>
            </w:r>
            <w:r w:rsidRPr="009F3F1A">
              <w:t>—key protective factors in preventing attendance decline and disengagement.</w:t>
            </w:r>
          </w:p>
        </w:tc>
        <w:tc>
          <w:tcPr>
            <w:tcW w:w="2343" w:type="dxa"/>
            <w:gridSpan w:val="2"/>
            <w:shd w:val="clear" w:color="auto" w:fill="FFFFFF" w:themeFill="background1"/>
          </w:tcPr>
          <w:p w14:paraId="4238076A" w14:textId="231BE24D" w:rsidR="008421CD" w:rsidRPr="008421CD" w:rsidRDefault="009F3F1A">
            <w:r w:rsidRPr="009F3F1A">
              <w:lastRenderedPageBreak/>
              <w:t xml:space="preserve">Programme planning and partnership agreements in place by </w:t>
            </w:r>
            <w:r w:rsidRPr="009F3F1A">
              <w:rPr>
                <w:b/>
                <w:bCs/>
              </w:rPr>
              <w:t>December 2025</w:t>
            </w:r>
            <w:r w:rsidRPr="009F3F1A">
              <w:t xml:space="preserve">, initial rollout by </w:t>
            </w:r>
            <w:r w:rsidRPr="009F3F1A">
              <w:rPr>
                <w:b/>
                <w:bCs/>
              </w:rPr>
              <w:t>February 2026</w:t>
            </w:r>
            <w:r w:rsidRPr="009F3F1A">
              <w:t xml:space="preserve">, with </w:t>
            </w:r>
            <w:r w:rsidRPr="009F3F1A">
              <w:lastRenderedPageBreak/>
              <w:t xml:space="preserve">full coverage and evaluation completed by </w:t>
            </w:r>
            <w:r w:rsidRPr="009F3F1A">
              <w:rPr>
                <w:b/>
                <w:bCs/>
              </w:rPr>
              <w:t>July 2026</w:t>
            </w:r>
            <w:r w:rsidRPr="009F3F1A">
              <w:t>.</w:t>
            </w:r>
          </w:p>
        </w:tc>
      </w:tr>
    </w:tbl>
    <w:p w14:paraId="13AC40F1" w14:textId="37B0E963" w:rsidR="00AD5B2C" w:rsidRDefault="00AD5B2C"/>
    <w:p w14:paraId="315D2975" w14:textId="77777777" w:rsidR="00357282" w:rsidRDefault="00357282"/>
    <w:sectPr w:rsidR="00357282" w:rsidSect="00AD5B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2C"/>
    <w:rsid w:val="000157E7"/>
    <w:rsid w:val="00032325"/>
    <w:rsid w:val="000719F3"/>
    <w:rsid w:val="00087E9B"/>
    <w:rsid w:val="000F6041"/>
    <w:rsid w:val="00162894"/>
    <w:rsid w:val="00193CA4"/>
    <w:rsid w:val="001B35EF"/>
    <w:rsid w:val="001C5DCF"/>
    <w:rsid w:val="002C129B"/>
    <w:rsid w:val="002F4267"/>
    <w:rsid w:val="00326548"/>
    <w:rsid w:val="00353606"/>
    <w:rsid w:val="00357282"/>
    <w:rsid w:val="00391D9B"/>
    <w:rsid w:val="00394171"/>
    <w:rsid w:val="0041733C"/>
    <w:rsid w:val="004616FA"/>
    <w:rsid w:val="004A793A"/>
    <w:rsid w:val="004B14AE"/>
    <w:rsid w:val="005055E9"/>
    <w:rsid w:val="00537FD3"/>
    <w:rsid w:val="00560F48"/>
    <w:rsid w:val="006A78B0"/>
    <w:rsid w:val="006F7C60"/>
    <w:rsid w:val="007235DB"/>
    <w:rsid w:val="00734FF8"/>
    <w:rsid w:val="00762089"/>
    <w:rsid w:val="00787C96"/>
    <w:rsid w:val="007D2DF8"/>
    <w:rsid w:val="00822B22"/>
    <w:rsid w:val="008421CD"/>
    <w:rsid w:val="00893F75"/>
    <w:rsid w:val="008A7DF1"/>
    <w:rsid w:val="008F44D1"/>
    <w:rsid w:val="009013F8"/>
    <w:rsid w:val="009F3F1A"/>
    <w:rsid w:val="00A576EC"/>
    <w:rsid w:val="00A8648C"/>
    <w:rsid w:val="00AD5B2C"/>
    <w:rsid w:val="00AE16B8"/>
    <w:rsid w:val="00BE77B8"/>
    <w:rsid w:val="00C6710B"/>
    <w:rsid w:val="00C93471"/>
    <w:rsid w:val="00D0632F"/>
    <w:rsid w:val="00D77CC6"/>
    <w:rsid w:val="00E2143C"/>
    <w:rsid w:val="00E32608"/>
    <w:rsid w:val="00F71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168B"/>
  <w15:chartTrackingRefBased/>
  <w15:docId w15:val="{5C200F74-C468-4DED-85E7-4AB394E1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B2C"/>
    <w:rPr>
      <w:rFonts w:eastAsiaTheme="majorEastAsia" w:cstheme="majorBidi"/>
      <w:color w:val="272727" w:themeColor="text1" w:themeTint="D8"/>
    </w:rPr>
  </w:style>
  <w:style w:type="paragraph" w:styleId="Title">
    <w:name w:val="Title"/>
    <w:basedOn w:val="Normal"/>
    <w:next w:val="Normal"/>
    <w:link w:val="TitleChar"/>
    <w:uiPriority w:val="10"/>
    <w:qFormat/>
    <w:rsid w:val="00AD5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B2C"/>
    <w:pPr>
      <w:spacing w:before="160"/>
      <w:jc w:val="center"/>
    </w:pPr>
    <w:rPr>
      <w:i/>
      <w:iCs/>
      <w:color w:val="404040" w:themeColor="text1" w:themeTint="BF"/>
    </w:rPr>
  </w:style>
  <w:style w:type="character" w:customStyle="1" w:styleId="QuoteChar">
    <w:name w:val="Quote Char"/>
    <w:basedOn w:val="DefaultParagraphFont"/>
    <w:link w:val="Quote"/>
    <w:uiPriority w:val="29"/>
    <w:rsid w:val="00AD5B2C"/>
    <w:rPr>
      <w:i/>
      <w:iCs/>
      <w:color w:val="404040" w:themeColor="text1" w:themeTint="BF"/>
    </w:rPr>
  </w:style>
  <w:style w:type="paragraph" w:styleId="ListParagraph">
    <w:name w:val="List Paragraph"/>
    <w:basedOn w:val="Normal"/>
    <w:uiPriority w:val="34"/>
    <w:qFormat/>
    <w:rsid w:val="00AD5B2C"/>
    <w:pPr>
      <w:ind w:left="720"/>
      <w:contextualSpacing/>
    </w:pPr>
  </w:style>
  <w:style w:type="character" w:styleId="IntenseEmphasis">
    <w:name w:val="Intense Emphasis"/>
    <w:basedOn w:val="DefaultParagraphFont"/>
    <w:uiPriority w:val="21"/>
    <w:qFormat/>
    <w:rsid w:val="00AD5B2C"/>
    <w:rPr>
      <w:i/>
      <w:iCs/>
      <w:color w:val="0F4761" w:themeColor="accent1" w:themeShade="BF"/>
    </w:rPr>
  </w:style>
  <w:style w:type="paragraph" w:styleId="IntenseQuote">
    <w:name w:val="Intense Quote"/>
    <w:basedOn w:val="Normal"/>
    <w:next w:val="Normal"/>
    <w:link w:val="IntenseQuoteChar"/>
    <w:uiPriority w:val="30"/>
    <w:qFormat/>
    <w:rsid w:val="00AD5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B2C"/>
    <w:rPr>
      <w:i/>
      <w:iCs/>
      <w:color w:val="0F4761" w:themeColor="accent1" w:themeShade="BF"/>
    </w:rPr>
  </w:style>
  <w:style w:type="character" w:styleId="IntenseReference">
    <w:name w:val="Intense Reference"/>
    <w:basedOn w:val="DefaultParagraphFont"/>
    <w:uiPriority w:val="32"/>
    <w:qFormat/>
    <w:rsid w:val="00AD5B2C"/>
    <w:rPr>
      <w:b/>
      <w:bCs/>
      <w:smallCaps/>
      <w:color w:val="0F4761" w:themeColor="accent1" w:themeShade="BF"/>
      <w:spacing w:val="5"/>
    </w:rPr>
  </w:style>
  <w:style w:type="table" w:styleId="TableGrid">
    <w:name w:val="Table Grid"/>
    <w:basedOn w:val="TableNormal"/>
    <w:uiPriority w:val="39"/>
    <w:rsid w:val="00AD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78765">
      <w:bodyDiv w:val="1"/>
      <w:marLeft w:val="0"/>
      <w:marRight w:val="0"/>
      <w:marTop w:val="0"/>
      <w:marBottom w:val="0"/>
      <w:divBdr>
        <w:top w:val="none" w:sz="0" w:space="0" w:color="auto"/>
        <w:left w:val="none" w:sz="0" w:space="0" w:color="auto"/>
        <w:bottom w:val="none" w:sz="0" w:space="0" w:color="auto"/>
        <w:right w:val="none" w:sz="0" w:space="0" w:color="auto"/>
      </w:divBdr>
    </w:div>
    <w:div w:id="10812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Hutchinson</dc:creator>
  <cp:keywords/>
  <dc:description/>
  <cp:lastModifiedBy>Jacqui Hutchinson</cp:lastModifiedBy>
  <cp:revision>47</cp:revision>
  <dcterms:created xsi:type="dcterms:W3CDTF">2025-07-01T00:57:00Z</dcterms:created>
  <dcterms:modified xsi:type="dcterms:W3CDTF">2025-07-15T13:49:00Z</dcterms:modified>
</cp:coreProperties>
</file>